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31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160" w:line="312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PIEK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ĻŪSTAMĪBAS IZVĒRTĒŠANAS PROTOKOLA VEIDLAPA</w:t>
      </w:r>
    </w:p>
    <w:tbl>
      <w:tblPr/>
      <w:tblGrid>
        <w:gridCol w:w="2887"/>
        <w:gridCol w:w="3840"/>
        <w:gridCol w:w="525"/>
        <w:gridCol w:w="4277"/>
        <w:gridCol w:w="2871"/>
      </w:tblGrid>
      <w:tr>
        <w:trPr>
          <w:trHeight w:val="1" w:hRule="atLeast"/>
          <w:jc w:val="left"/>
        </w:trPr>
        <w:tc>
          <w:tcPr>
            <w:tcW w:w="2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7F7F7F"/>
                <w:spacing w:val="0"/>
                <w:position w:val="0"/>
                <w:sz w:val="21"/>
                <w:shd w:fill="auto" w:val="clear"/>
              </w:rPr>
              <w:t xml:space="preserve">T</w:t>
            </w:r>
            <w:r>
              <w:rPr>
                <w:rFonts w:ascii="Calibri" w:hAnsi="Calibri" w:cs="Calibri" w:eastAsia="Calibri"/>
                <w:color w:val="7F7F7F"/>
                <w:spacing w:val="0"/>
                <w:position w:val="0"/>
                <w:sz w:val="21"/>
                <w:shd w:fill="auto" w:val="clear"/>
              </w:rPr>
              <w:t xml:space="preserve">īmekļvietnes atbilstība piekļūstamības prasībām veikta (veikšanas datums):</w:t>
            </w:r>
          </w:p>
        </w:tc>
        <w:tc>
          <w:tcPr>
            <w:tcW w:w="3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06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.0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.202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5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7F7F7F"/>
                <w:spacing w:val="0"/>
                <w:position w:val="0"/>
                <w:sz w:val="21"/>
                <w:shd w:fill="auto" w:val="clear"/>
              </w:rPr>
              <w:t xml:space="preserve">T</w:t>
            </w:r>
            <w:r>
              <w:rPr>
                <w:rFonts w:ascii="Calibri" w:hAnsi="Calibri" w:cs="Calibri" w:eastAsia="Calibri"/>
                <w:color w:val="7F7F7F"/>
                <w:spacing w:val="0"/>
                <w:position w:val="0"/>
                <w:sz w:val="21"/>
                <w:shd w:fill="auto" w:val="clear"/>
              </w:rPr>
              <w:t xml:space="preserve">īmekļvietnes piekļūstamības pārbaudi veica</w:t>
              <w:br/>
              <w:t xml:space="preserve">(vārds, uzvārds, amats):</w:t>
            </w:r>
          </w:p>
        </w:tc>
        <w:tc>
          <w:tcPr>
            <w:tcW w:w="28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ānis Indārs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Datortehni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ķis</w:t>
            </w:r>
          </w:p>
        </w:tc>
      </w:tr>
      <w:tr>
        <w:trPr>
          <w:trHeight w:val="1" w:hRule="atLeast"/>
          <w:jc w:val="left"/>
        </w:trPr>
        <w:tc>
          <w:tcPr>
            <w:tcW w:w="2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7F7F7F"/>
                <w:spacing w:val="0"/>
                <w:position w:val="0"/>
                <w:sz w:val="21"/>
                <w:shd w:fill="auto" w:val="clear"/>
              </w:rPr>
              <w:t xml:space="preserve">Iest</w:t>
            </w:r>
            <w:r>
              <w:rPr>
                <w:rFonts w:ascii="Calibri" w:hAnsi="Calibri" w:cs="Calibri" w:eastAsia="Calibri"/>
                <w:color w:val="7F7F7F"/>
                <w:spacing w:val="0"/>
                <w:position w:val="0"/>
                <w:sz w:val="21"/>
                <w:shd w:fill="auto" w:val="clear"/>
              </w:rPr>
              <w:t xml:space="preserve">ādes nosaukums:</w:t>
            </w:r>
          </w:p>
        </w:tc>
        <w:tc>
          <w:tcPr>
            <w:tcW w:w="3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Kalnciema vidusskola</w:t>
            </w:r>
          </w:p>
        </w:tc>
        <w:tc>
          <w:tcPr>
            <w:tcW w:w="5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7F7F7F"/>
                <w:spacing w:val="0"/>
                <w:position w:val="0"/>
                <w:sz w:val="21"/>
                <w:shd w:fill="auto" w:val="clear"/>
              </w:rPr>
              <w:t xml:space="preserve">T</w:t>
            </w:r>
            <w:r>
              <w:rPr>
                <w:rFonts w:ascii="Calibri" w:hAnsi="Calibri" w:cs="Calibri" w:eastAsia="Calibri"/>
                <w:color w:val="7F7F7F"/>
                <w:spacing w:val="0"/>
                <w:position w:val="0"/>
                <w:sz w:val="21"/>
                <w:shd w:fill="auto" w:val="clear"/>
              </w:rPr>
              <w:t xml:space="preserve">īmekļvietnes piekļūstamības pārbaudi veica</w:t>
              <w:br/>
              <w:t xml:space="preserve">(vārds, uzvārds, amats):</w:t>
            </w:r>
          </w:p>
        </w:tc>
        <w:tc>
          <w:tcPr>
            <w:tcW w:w="28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7F7F7F"/>
                <w:spacing w:val="0"/>
                <w:position w:val="0"/>
                <w:sz w:val="21"/>
                <w:shd w:fill="auto" w:val="clear"/>
              </w:rPr>
              <w:t xml:space="preserve">T</w:t>
            </w:r>
            <w:r>
              <w:rPr>
                <w:rFonts w:ascii="Calibri" w:hAnsi="Calibri" w:cs="Calibri" w:eastAsia="Calibri"/>
                <w:color w:val="7F7F7F"/>
                <w:spacing w:val="0"/>
                <w:position w:val="0"/>
                <w:sz w:val="21"/>
                <w:shd w:fill="auto" w:val="clear"/>
              </w:rPr>
              <w:t xml:space="preserve">īmekļvietnes domēna nosaukums (URL):</w:t>
            </w:r>
          </w:p>
        </w:tc>
        <w:tc>
          <w:tcPr>
            <w:tcW w:w="3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1"/>
                  <w:u w:val="single"/>
                  <w:shd w:fill="auto" w:val="clear"/>
                </w:rPr>
                <w:t xml:space="preserve">http://www.kalnciemavsk.lv</w:t>
              </w:r>
            </w:hyperlink>
          </w:p>
        </w:tc>
        <w:tc>
          <w:tcPr>
            <w:tcW w:w="5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31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tbl>
      <w:tblPr/>
      <w:tblGrid>
        <w:gridCol w:w="2101"/>
        <w:gridCol w:w="1117"/>
        <w:gridCol w:w="1117"/>
        <w:gridCol w:w="1117"/>
        <w:gridCol w:w="1117"/>
        <w:gridCol w:w="1117"/>
        <w:gridCol w:w="1118"/>
        <w:gridCol w:w="1117"/>
        <w:gridCol w:w="1117"/>
        <w:gridCol w:w="1117"/>
        <w:gridCol w:w="1117"/>
        <w:gridCol w:w="1118"/>
      </w:tblGrid>
      <w:tr>
        <w:trPr>
          <w:trHeight w:val="1" w:hRule="atLeast"/>
          <w:jc w:val="left"/>
        </w:trPr>
        <w:tc>
          <w:tcPr>
            <w:tcW w:w="2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Nov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ērtētās lapas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Galven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ā navigācija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Pamatstruk-t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ūras pārbaude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Tastat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ūras piekļuve un vizuālais fokuss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Formu lauki un 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ļūdu paziņojumi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Att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ēlu tekstuālā alternatīva</w:t>
            </w:r>
          </w:p>
        </w:tc>
        <w:tc>
          <w:tcPr>
            <w:tcW w:w="1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Virsraksti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Kr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āsu kontrasti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Teksta izm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ēra tālummaiņa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Lapu nosaukumi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Saturs, kas kustas, mirgo un zibsn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ī</w:t>
            </w:r>
          </w:p>
        </w:tc>
        <w:tc>
          <w:tcPr>
            <w:tcW w:w="1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Multimediju (audio, video) satura alternat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īvas</w:t>
            </w:r>
          </w:p>
        </w:tc>
      </w:tr>
      <w:tr>
        <w:trPr>
          <w:trHeight w:val="1" w:hRule="atLeast"/>
          <w:jc w:val="left"/>
        </w:trPr>
        <w:tc>
          <w:tcPr>
            <w:tcW w:w="2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http://www.kalnciemavsk.lv/jaunumi</w:t>
              </w:r>
            </w:hyperlink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Atbilst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Atbilst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Neatbilst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Atbilst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Neatbilst</w:t>
            </w:r>
          </w:p>
        </w:tc>
        <w:tc>
          <w:tcPr>
            <w:tcW w:w="1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Atbilst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Neatbilst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Neatbilst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Atbilst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Atbilst </w:t>
            </w:r>
          </w:p>
        </w:tc>
        <w:tc>
          <w:tcPr>
            <w:tcW w:w="1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Nav attiecin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āms</w:t>
            </w:r>
          </w:p>
        </w:tc>
      </w:tr>
      <w:tr>
        <w:trPr>
          <w:trHeight w:val="1" w:hRule="atLeast"/>
          <w:jc w:val="left"/>
        </w:trPr>
        <w:tc>
          <w:tcPr>
            <w:tcW w:w="2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http://www.kalnciemavsk.lv/kontakti-2</w:t>
              </w:r>
            </w:hyperlink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Atbilst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Atbilst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Neatbilst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Atbilst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Nav attiecin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āms</w:t>
            </w:r>
          </w:p>
        </w:tc>
        <w:tc>
          <w:tcPr>
            <w:tcW w:w="1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Atbilst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Neatbilst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Neatbilst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Atbilst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Atbilst</w:t>
            </w:r>
          </w:p>
        </w:tc>
        <w:tc>
          <w:tcPr>
            <w:tcW w:w="1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Nav attiecin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āms</w:t>
            </w:r>
          </w:p>
        </w:tc>
      </w:tr>
      <w:tr>
        <w:trPr>
          <w:trHeight w:val="1" w:hRule="atLeast"/>
          <w:jc w:val="left"/>
        </w:trPr>
        <w:tc>
          <w:tcPr>
            <w:tcW w:w="2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http://www.kalnciemavsk.lv/sadarbibas-partneri</w:t>
              </w:r>
            </w:hyperlink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Atbilst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Atbilst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Neatbilst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Atbilst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Neatbilst</w:t>
            </w:r>
          </w:p>
        </w:tc>
        <w:tc>
          <w:tcPr>
            <w:tcW w:w="1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Atbilst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Neatbilst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Neatbilst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Atbilst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Atbilst</w:t>
            </w:r>
          </w:p>
        </w:tc>
        <w:tc>
          <w:tcPr>
            <w:tcW w:w="1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Nav attiecin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āms</w:t>
            </w:r>
          </w:p>
        </w:tc>
      </w:tr>
      <w:tr>
        <w:trPr>
          <w:trHeight w:val="1" w:hRule="atLeast"/>
          <w:jc w:val="left"/>
        </w:trPr>
        <w:tc>
          <w:tcPr>
            <w:tcW w:w="2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http://www.kalnciemavsk.lv/attalinata-macisanas</w:t>
              </w:r>
            </w:hyperlink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Atbilst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Atbilst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Neatbilst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Atbilst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Nav attiecin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āms</w:t>
            </w:r>
          </w:p>
        </w:tc>
        <w:tc>
          <w:tcPr>
            <w:tcW w:w="1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Neatbilst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Neatbilst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Neatbilst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Atbilst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Atbilst</w:t>
            </w:r>
          </w:p>
        </w:tc>
        <w:tc>
          <w:tcPr>
            <w:tcW w:w="1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Neatbilst</w:t>
            </w:r>
          </w:p>
        </w:tc>
      </w:tr>
      <w:tr>
        <w:trPr>
          <w:trHeight w:val="1" w:hRule="atLeast"/>
          <w:jc w:val="left"/>
        </w:trPr>
        <w:tc>
          <w:tcPr>
            <w:tcW w:w="2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5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http://www.kalnciemavsk.lv/dokumenti-2</w:t>
              </w:r>
            </w:hyperlink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Atbilst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Atbilst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Neatbilst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Atbilst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Nav attiecin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āms</w:t>
            </w:r>
          </w:p>
        </w:tc>
        <w:tc>
          <w:tcPr>
            <w:tcW w:w="1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Atbilst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Neatbilst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Neatbilst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Atbilst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Atbilst</w:t>
            </w:r>
          </w:p>
        </w:tc>
        <w:tc>
          <w:tcPr>
            <w:tcW w:w="1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Nav attiecin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āms</w:t>
            </w:r>
          </w:p>
        </w:tc>
      </w:tr>
      <w:tr>
        <w:trPr>
          <w:trHeight w:val="1" w:hRule="atLeast"/>
          <w:jc w:val="left"/>
        </w:trPr>
        <w:tc>
          <w:tcPr>
            <w:tcW w:w="2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Koment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ārs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1,2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</w:tr>
    </w:tbl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Aizpildot tabulu, 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</w:p>
    <w:p>
      <w:pPr>
        <w:spacing w:before="12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12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ārbaudi apstiprināja (vārds, uzvārds, amats):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Ivita Saldava, direktore</w:t>
      </w:r>
    </w:p>
    <w:p>
      <w:pPr>
        <w:spacing w:before="12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312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* P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ārbaudes protokolu apstiprina atbilstoši iestādē noteiktajai iekšējai dokumentu aprites kārtībai.</w:t>
      </w:r>
    </w:p>
    <w:p>
      <w:pPr>
        <w:spacing w:before="0" w:after="160" w:line="312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ŠIS DOKUMENTS IR ELEKTRONISKI PARAKSTĪTS AR DROŠU ELEKTRONISKO PARAKSTU UN SATUR LAIKA ZĪMOGU</w:t>
      </w:r>
    </w:p>
    <w:p>
      <w:pPr>
        <w:spacing w:before="0" w:after="160" w:line="312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33"/>
        </w:numPr>
        <w:spacing w:before="0" w:after="160" w:line="312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Izmantojot tab tausti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ņu navigācijas elementi netiek fokusēti un iezīmēti,</w:t>
      </w:r>
    </w:p>
    <w:p>
      <w:pPr>
        <w:numPr>
          <w:ilvl w:val="0"/>
          <w:numId w:val="33"/>
        </w:numPr>
        <w:spacing w:before="0" w:after="160" w:line="312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Nevar piek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ļūt formām, lai aizpildītu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neizmantojot peli</w:t>
      </w:r>
    </w:p>
    <w:p>
      <w:pPr>
        <w:numPr>
          <w:ilvl w:val="0"/>
          <w:numId w:val="33"/>
        </w:numPr>
        <w:spacing w:before="0" w:after="160" w:line="312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Nav mekl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ēšanas ailes</w:t>
      </w:r>
    </w:p>
    <w:p>
      <w:pPr>
        <w:numPr>
          <w:ilvl w:val="0"/>
          <w:numId w:val="33"/>
        </w:numPr>
        <w:spacing w:before="0" w:after="160" w:line="312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Ievietoti virsraksti, kam nav pielietots virsrakstu stils</w:t>
      </w:r>
    </w:p>
    <w:p>
      <w:pPr>
        <w:numPr>
          <w:ilvl w:val="0"/>
          <w:numId w:val="33"/>
        </w:numPr>
        <w:spacing w:before="0" w:after="160" w:line="312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Ļoti zems contrasts starp tekstu krāsu un fonu krāsu(</w:t>
      </w:r>
      <w:r>
        <w:rPr>
          <w:rFonts w:ascii="Segoe UI" w:hAnsi="Segoe UI" w:cs="Segoe UI" w:eastAsia="Segoe UI"/>
          <w:color w:val="auto"/>
          <w:spacing w:val="0"/>
          <w:position w:val="0"/>
          <w:sz w:val="21"/>
          <w:shd w:fill="FFFFFF" w:val="clear"/>
        </w:rPr>
        <w:t xml:space="preserve">3.41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). Pieļaujamais kontrasts 4.5:1</w:t>
      </w:r>
    </w:p>
    <w:p>
      <w:pPr>
        <w:numPr>
          <w:ilvl w:val="0"/>
          <w:numId w:val="33"/>
        </w:numPr>
        <w:spacing w:before="0" w:after="160" w:line="312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Palielinot lapu palielin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ās visi tās elementi. Samzainot loga izmērus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īmekļa vietne nepārslēdzās mobīlās iekārtas režīmā.</w:t>
      </w:r>
    </w:p>
    <w:p>
      <w:pPr>
        <w:numPr>
          <w:ilvl w:val="0"/>
          <w:numId w:val="33"/>
        </w:numPr>
        <w:spacing w:before="0" w:after="160" w:line="312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Nav subtitru ievietotajiem video</w:t>
      </w:r>
    </w:p>
    <w:p>
      <w:pPr>
        <w:spacing w:before="0" w:after="160" w:line="312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kalnciemavsk.lv/jaunumi" Id="docRId1" Type="http://schemas.openxmlformats.org/officeDocument/2006/relationships/hyperlink" /><Relationship TargetMode="External" Target="http://www.kalnciemavsk.lv/sadarbibas-partneri" Id="docRId3" Type="http://schemas.openxmlformats.org/officeDocument/2006/relationships/hyperlink" /><Relationship TargetMode="External" Target="http://www.kalnciemavsk.lv/dokumenti-2" Id="docRId5" Type="http://schemas.openxmlformats.org/officeDocument/2006/relationships/hyperlink" /><Relationship Target="styles.xml" Id="docRId7" Type="http://schemas.openxmlformats.org/officeDocument/2006/relationships/styles" /><Relationship TargetMode="External" Target="http://www.kalnciemavsk.lv/" Id="docRId0" Type="http://schemas.openxmlformats.org/officeDocument/2006/relationships/hyperlink" /><Relationship TargetMode="External" Target="http://www.kalnciemavsk.lv/kontakti-2" Id="docRId2" Type="http://schemas.openxmlformats.org/officeDocument/2006/relationships/hyperlink" /><Relationship TargetMode="External" Target="http://www.kalnciemavsk.lv/attalinata-macisanas" Id="docRId4" Type="http://schemas.openxmlformats.org/officeDocument/2006/relationships/hyperlink" /><Relationship Target="numbering.xml" Id="docRId6" Type="http://schemas.openxmlformats.org/officeDocument/2006/relationships/numbering" /></Relationships>
</file>